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48" w:rsidRDefault="006D5DCF" w:rsidP="004A2F48">
      <w:pPr>
        <w:pStyle w:val="Default"/>
        <w:numPr>
          <w:ilvl w:val="0"/>
          <w:numId w:val="5"/>
        </w:numPr>
        <w:spacing w:before="24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On 3 July 2013, t</w:t>
      </w:r>
      <w:r w:rsidR="007A0B09" w:rsidRPr="007A0B09">
        <w:rPr>
          <w:sz w:val="22"/>
          <w:szCs w:val="22"/>
        </w:rPr>
        <w:t xml:space="preserve">he Queensland Government tabled </w:t>
      </w:r>
      <w:r>
        <w:rPr>
          <w:sz w:val="22"/>
          <w:szCs w:val="22"/>
        </w:rPr>
        <w:t xml:space="preserve">its response </w:t>
      </w:r>
      <w:r w:rsidR="007A0B09" w:rsidRPr="007A0B09">
        <w:rPr>
          <w:sz w:val="22"/>
          <w:szCs w:val="22"/>
        </w:rPr>
        <w:t xml:space="preserve">in the Legislative Assembly to the two recent reviews of the Crime and Misconduct Commission (CMC): </w:t>
      </w:r>
    </w:p>
    <w:p w:rsidR="004A2F48" w:rsidRDefault="007A0B09" w:rsidP="004A2F48">
      <w:pPr>
        <w:pStyle w:val="Default"/>
        <w:numPr>
          <w:ilvl w:val="0"/>
          <w:numId w:val="8"/>
        </w:numPr>
        <w:spacing w:before="120"/>
        <w:ind w:left="714" w:hanging="357"/>
        <w:jc w:val="both"/>
        <w:rPr>
          <w:sz w:val="22"/>
          <w:szCs w:val="22"/>
        </w:rPr>
      </w:pPr>
      <w:r w:rsidRPr="007A0B09">
        <w:rPr>
          <w:sz w:val="22"/>
          <w:szCs w:val="22"/>
        </w:rPr>
        <w:t xml:space="preserve">the review by the Independent Advisory Panel of the </w:t>
      </w:r>
      <w:r w:rsidRPr="007A0B09">
        <w:rPr>
          <w:i/>
          <w:sz w:val="22"/>
          <w:szCs w:val="22"/>
        </w:rPr>
        <w:t>Crime and Misconduct Act 2001</w:t>
      </w:r>
      <w:r w:rsidRPr="007A0B09">
        <w:rPr>
          <w:sz w:val="22"/>
          <w:szCs w:val="22"/>
        </w:rPr>
        <w:t xml:space="preserve">; and </w:t>
      </w:r>
    </w:p>
    <w:p w:rsidR="004A2F48" w:rsidRDefault="007A0B09" w:rsidP="004A2F48">
      <w:pPr>
        <w:pStyle w:val="Default"/>
        <w:numPr>
          <w:ilvl w:val="0"/>
          <w:numId w:val="8"/>
        </w:numPr>
        <w:spacing w:before="120"/>
        <w:ind w:left="714" w:hanging="357"/>
        <w:jc w:val="both"/>
        <w:rPr>
          <w:sz w:val="22"/>
          <w:szCs w:val="22"/>
        </w:rPr>
      </w:pPr>
      <w:r w:rsidRPr="007A0B09">
        <w:rPr>
          <w:sz w:val="22"/>
          <w:szCs w:val="22"/>
        </w:rPr>
        <w:t>the inquiry by the Parliamentary Crime and Misconduct Committee (PCMC) into the CMC’s release and destruction of Fitzgerald Commission of Inquiry documents</w:t>
      </w:r>
      <w:r w:rsidR="006D5DCF">
        <w:rPr>
          <w:sz w:val="22"/>
          <w:szCs w:val="22"/>
        </w:rPr>
        <w:t xml:space="preserve">. </w:t>
      </w:r>
    </w:p>
    <w:p w:rsidR="007A0B09" w:rsidRDefault="006D5DCF" w:rsidP="004A2F48">
      <w:pPr>
        <w:pStyle w:val="Default"/>
        <w:numPr>
          <w:ilvl w:val="0"/>
          <w:numId w:val="5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Government Response </w:t>
      </w:r>
      <w:r w:rsidR="007A0B09" w:rsidRPr="007A0B09">
        <w:rPr>
          <w:sz w:val="22"/>
          <w:szCs w:val="22"/>
        </w:rPr>
        <w:t xml:space="preserve">accepted recommendations </w:t>
      </w:r>
      <w:r>
        <w:rPr>
          <w:sz w:val="22"/>
          <w:szCs w:val="22"/>
        </w:rPr>
        <w:t xml:space="preserve">to reform </w:t>
      </w:r>
      <w:r w:rsidR="007A0B09" w:rsidRPr="007A0B09">
        <w:rPr>
          <w:sz w:val="22"/>
          <w:szCs w:val="22"/>
        </w:rPr>
        <w:t>the governance and administrative structure; complaints management system</w:t>
      </w:r>
      <w:r w:rsidR="004A2F48">
        <w:rPr>
          <w:sz w:val="22"/>
          <w:szCs w:val="22"/>
        </w:rPr>
        <w:t>;</w:t>
      </w:r>
      <w:r w:rsidR="007A0B09" w:rsidRPr="007A0B09">
        <w:rPr>
          <w:sz w:val="22"/>
          <w:szCs w:val="22"/>
        </w:rPr>
        <w:t xml:space="preserve"> and oversight of the CMC. </w:t>
      </w:r>
    </w:p>
    <w:p w:rsidR="007A0B09" w:rsidRDefault="006D5DCF" w:rsidP="004A2F48">
      <w:pPr>
        <w:pStyle w:val="Default"/>
        <w:numPr>
          <w:ilvl w:val="0"/>
          <w:numId w:val="5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7A0B09" w:rsidRPr="007A0B09">
        <w:rPr>
          <w:sz w:val="22"/>
          <w:szCs w:val="22"/>
        </w:rPr>
        <w:t xml:space="preserve">he Government Response </w:t>
      </w:r>
      <w:r w:rsidR="00C4333E">
        <w:rPr>
          <w:sz w:val="22"/>
          <w:szCs w:val="22"/>
        </w:rPr>
        <w:t>and the</w:t>
      </w:r>
      <w:r w:rsidR="004A2F48">
        <w:rPr>
          <w:sz w:val="22"/>
          <w:szCs w:val="22"/>
        </w:rPr>
        <w:t xml:space="preserve"> earlier</w:t>
      </w:r>
      <w:r w:rsidR="00C4333E">
        <w:rPr>
          <w:sz w:val="22"/>
          <w:szCs w:val="22"/>
        </w:rPr>
        <w:t xml:space="preserve"> </w:t>
      </w:r>
      <w:r w:rsidR="007A0B09" w:rsidRPr="007A0B09">
        <w:rPr>
          <w:sz w:val="22"/>
          <w:szCs w:val="22"/>
        </w:rPr>
        <w:t xml:space="preserve">Government Response to the Commission of Audit </w:t>
      </w:r>
      <w:r>
        <w:rPr>
          <w:sz w:val="22"/>
          <w:szCs w:val="22"/>
        </w:rPr>
        <w:t>Report</w:t>
      </w:r>
      <w:r w:rsidR="00A92B3C">
        <w:rPr>
          <w:sz w:val="22"/>
          <w:szCs w:val="22"/>
        </w:rPr>
        <w:t xml:space="preserve"> </w:t>
      </w:r>
      <w:r w:rsidR="007A0B09" w:rsidRPr="007A0B09">
        <w:rPr>
          <w:sz w:val="22"/>
          <w:szCs w:val="22"/>
        </w:rPr>
        <w:t xml:space="preserve">accepted there were to be changes to the systems for prevention, management and oversight of misconduct in public service departments and other units of public administration. </w:t>
      </w:r>
    </w:p>
    <w:p w:rsidR="00D952A3" w:rsidRPr="00802615" w:rsidRDefault="007A0B09" w:rsidP="004A2F48">
      <w:pPr>
        <w:pStyle w:val="Default"/>
        <w:numPr>
          <w:ilvl w:val="0"/>
          <w:numId w:val="5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Crime and Misconduct and Other Legislation Amendment Bill 2014 will </w:t>
      </w:r>
      <w:r w:rsidR="00D952A3">
        <w:rPr>
          <w:sz w:val="22"/>
          <w:szCs w:val="22"/>
        </w:rPr>
        <w:t xml:space="preserve">deliver </w:t>
      </w:r>
      <w:r>
        <w:rPr>
          <w:sz w:val="22"/>
          <w:szCs w:val="22"/>
        </w:rPr>
        <w:t>the</w:t>
      </w:r>
      <w:r w:rsidR="0003191D">
        <w:rPr>
          <w:sz w:val="22"/>
          <w:szCs w:val="22"/>
        </w:rPr>
        <w:t xml:space="preserve"> </w:t>
      </w:r>
      <w:r w:rsidR="000527F6">
        <w:rPr>
          <w:sz w:val="22"/>
          <w:szCs w:val="22"/>
        </w:rPr>
        <w:t>legislative amendments required to implement the reforms to the CMC</w:t>
      </w:r>
      <w:r w:rsidR="0082666D">
        <w:rPr>
          <w:sz w:val="22"/>
          <w:szCs w:val="22"/>
        </w:rPr>
        <w:t xml:space="preserve"> and the conduct management system for the public sector. </w:t>
      </w:r>
      <w:r w:rsidR="000527F6">
        <w:rPr>
          <w:sz w:val="22"/>
          <w:szCs w:val="22"/>
        </w:rPr>
        <w:t xml:space="preserve">The legislative amendments include reforms to: </w:t>
      </w:r>
      <w:r w:rsidR="00D952A3">
        <w:rPr>
          <w:sz w:val="22"/>
          <w:szCs w:val="22"/>
        </w:rPr>
        <w:t xml:space="preserve"> </w:t>
      </w:r>
    </w:p>
    <w:p w:rsidR="00D952A3" w:rsidRDefault="000527F6" w:rsidP="004A2F48">
      <w:pPr>
        <w:pStyle w:val="Default"/>
        <w:numPr>
          <w:ilvl w:val="0"/>
          <w:numId w:val="6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modify the upper governance structure of the CMC;</w:t>
      </w:r>
    </w:p>
    <w:p w:rsidR="000527F6" w:rsidRDefault="000527F6" w:rsidP="004A2F48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change the CMC’s misconduct jurisdiction and complaints management system including: a new definition of ‘corrupt conduct’ instead of ‘official misconduct’; </w:t>
      </w:r>
      <w:r w:rsidR="002721DE">
        <w:rPr>
          <w:sz w:val="22"/>
          <w:szCs w:val="22"/>
        </w:rPr>
        <w:t xml:space="preserve">and a </w:t>
      </w:r>
      <w:r>
        <w:rPr>
          <w:sz w:val="22"/>
          <w:szCs w:val="22"/>
        </w:rPr>
        <w:t xml:space="preserve">requirement for complaints to be </w:t>
      </w:r>
      <w:r w:rsidR="002721DE">
        <w:rPr>
          <w:sz w:val="22"/>
          <w:szCs w:val="22"/>
        </w:rPr>
        <w:t>by way of</w:t>
      </w:r>
      <w:r>
        <w:rPr>
          <w:sz w:val="22"/>
          <w:szCs w:val="22"/>
        </w:rPr>
        <w:t xml:space="preserve"> a statutory declaration </w:t>
      </w:r>
      <w:r w:rsidR="002721DE">
        <w:rPr>
          <w:sz w:val="22"/>
          <w:szCs w:val="22"/>
        </w:rPr>
        <w:t xml:space="preserve">except </w:t>
      </w:r>
      <w:r>
        <w:rPr>
          <w:sz w:val="22"/>
          <w:szCs w:val="22"/>
        </w:rPr>
        <w:t>in certain circumstances;</w:t>
      </w:r>
    </w:p>
    <w:p w:rsidR="000527F6" w:rsidRDefault="000527F6" w:rsidP="004A2F48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retitle </w:t>
      </w:r>
      <w:r w:rsidR="00EA6D91">
        <w:rPr>
          <w:sz w:val="22"/>
          <w:szCs w:val="22"/>
        </w:rPr>
        <w:t xml:space="preserve">the Act and </w:t>
      </w:r>
      <w:r>
        <w:rPr>
          <w:sz w:val="22"/>
          <w:szCs w:val="22"/>
        </w:rPr>
        <w:t xml:space="preserve">certain </w:t>
      </w:r>
      <w:r w:rsidR="00EA6D91">
        <w:rPr>
          <w:sz w:val="22"/>
          <w:szCs w:val="22"/>
        </w:rPr>
        <w:t xml:space="preserve">entities, </w:t>
      </w:r>
      <w:r>
        <w:rPr>
          <w:sz w:val="22"/>
          <w:szCs w:val="22"/>
        </w:rPr>
        <w:t>offices or officers to be</w:t>
      </w:r>
      <w:r w:rsidRPr="000527F6">
        <w:rPr>
          <w:sz w:val="22"/>
          <w:szCs w:val="22"/>
        </w:rPr>
        <w:t>: ‘</w:t>
      </w:r>
      <w:r w:rsidRPr="000527F6">
        <w:rPr>
          <w:i/>
          <w:sz w:val="22"/>
          <w:szCs w:val="22"/>
        </w:rPr>
        <w:t>Crime and Corruption Act 2001</w:t>
      </w:r>
      <w:r w:rsidRPr="000527F6">
        <w:rPr>
          <w:sz w:val="22"/>
          <w:szCs w:val="22"/>
        </w:rPr>
        <w:t>’; ‘</w:t>
      </w:r>
      <w:r w:rsidRPr="000527F6">
        <w:rPr>
          <w:i/>
          <w:sz w:val="22"/>
          <w:szCs w:val="22"/>
        </w:rPr>
        <w:t>Crime and Corruption Commission</w:t>
      </w:r>
      <w:r w:rsidRPr="000527F6">
        <w:rPr>
          <w:sz w:val="22"/>
          <w:szCs w:val="22"/>
        </w:rPr>
        <w:t>’; ‘</w:t>
      </w:r>
      <w:r w:rsidRPr="000527F6">
        <w:rPr>
          <w:i/>
          <w:sz w:val="22"/>
          <w:szCs w:val="22"/>
        </w:rPr>
        <w:t xml:space="preserve">Parliamentary Crime and Corruption Committee’ </w:t>
      </w:r>
      <w:r w:rsidRPr="000527F6">
        <w:rPr>
          <w:sz w:val="22"/>
          <w:szCs w:val="22"/>
        </w:rPr>
        <w:t>and ‘</w:t>
      </w:r>
      <w:r w:rsidRPr="000527F6">
        <w:rPr>
          <w:i/>
          <w:sz w:val="22"/>
          <w:szCs w:val="22"/>
        </w:rPr>
        <w:t>Parliamentary Crime and Corruption Commissioner</w:t>
      </w:r>
      <w:r w:rsidRPr="000527F6">
        <w:rPr>
          <w:sz w:val="22"/>
          <w:szCs w:val="22"/>
        </w:rPr>
        <w:t>’</w:t>
      </w:r>
      <w:r>
        <w:rPr>
          <w:sz w:val="22"/>
          <w:szCs w:val="22"/>
        </w:rPr>
        <w:t>;</w:t>
      </w:r>
    </w:p>
    <w:p w:rsidR="000527F6" w:rsidRDefault="000527F6" w:rsidP="004A2F48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implement a new conduct management model for public sector agencies to be driven by the Public Service Commission;</w:t>
      </w:r>
    </w:p>
    <w:p w:rsidR="000527F6" w:rsidRDefault="000527F6" w:rsidP="004A2F48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expand the role of the Parliamentary Crime and Misconduct Commissioner in his oversight role of the CMC; and</w:t>
      </w:r>
    </w:p>
    <w:p w:rsidR="000527F6" w:rsidRPr="000527F6" w:rsidRDefault="000527F6" w:rsidP="004A2F48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make consequential amendments to the </w:t>
      </w:r>
      <w:r w:rsidR="004A2F48" w:rsidRPr="007A0B09">
        <w:rPr>
          <w:i/>
          <w:sz w:val="22"/>
          <w:szCs w:val="22"/>
        </w:rPr>
        <w:t>Crime and Misconduct Act 2001</w:t>
      </w:r>
      <w:r>
        <w:rPr>
          <w:sz w:val="22"/>
          <w:szCs w:val="22"/>
        </w:rPr>
        <w:t xml:space="preserve">, the </w:t>
      </w:r>
      <w:r w:rsidRPr="000527F6">
        <w:rPr>
          <w:i/>
          <w:sz w:val="22"/>
          <w:szCs w:val="22"/>
        </w:rPr>
        <w:t>Public Service Act 2008</w:t>
      </w:r>
      <w:r>
        <w:rPr>
          <w:sz w:val="22"/>
          <w:szCs w:val="22"/>
        </w:rPr>
        <w:t xml:space="preserve"> and other Queensland legislation. </w:t>
      </w:r>
    </w:p>
    <w:p w:rsidR="00D952A3" w:rsidRDefault="00D952A3" w:rsidP="004A2F48">
      <w:pPr>
        <w:pStyle w:val="Default"/>
        <w:numPr>
          <w:ilvl w:val="0"/>
          <w:numId w:val="5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Cabinet approved</w:t>
      </w:r>
      <w:r w:rsidRPr="00C07997">
        <w:rPr>
          <w:sz w:val="22"/>
          <w:szCs w:val="22"/>
        </w:rPr>
        <w:t xml:space="preserve"> i</w:t>
      </w:r>
      <w:r w:rsidR="007A0B09">
        <w:rPr>
          <w:sz w:val="22"/>
          <w:szCs w:val="22"/>
        </w:rPr>
        <w:t xml:space="preserve">ntroduction of the Crime and Misconduct </w:t>
      </w:r>
      <w:r w:rsidR="00566663">
        <w:rPr>
          <w:sz w:val="22"/>
          <w:szCs w:val="22"/>
        </w:rPr>
        <w:t xml:space="preserve">and Other Legislation </w:t>
      </w:r>
      <w:r>
        <w:rPr>
          <w:sz w:val="22"/>
          <w:szCs w:val="22"/>
        </w:rPr>
        <w:t>Amendment Bill</w:t>
      </w:r>
      <w:r w:rsidR="00566663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7A0B09">
        <w:rPr>
          <w:sz w:val="22"/>
          <w:szCs w:val="22"/>
        </w:rPr>
        <w:t>4</w:t>
      </w:r>
      <w:r>
        <w:rPr>
          <w:sz w:val="22"/>
          <w:szCs w:val="22"/>
        </w:rPr>
        <w:t xml:space="preserve"> into the Legislative Assembly. </w:t>
      </w:r>
    </w:p>
    <w:p w:rsidR="00D952A3" w:rsidRPr="00226AAB" w:rsidRDefault="00D952A3" w:rsidP="004A2F48">
      <w:pPr>
        <w:pStyle w:val="Default"/>
        <w:numPr>
          <w:ilvl w:val="0"/>
          <w:numId w:val="5"/>
        </w:numPr>
        <w:spacing w:before="360"/>
        <w:ind w:left="357" w:hanging="357"/>
        <w:jc w:val="both"/>
        <w:rPr>
          <w:i/>
          <w:sz w:val="22"/>
          <w:szCs w:val="22"/>
        </w:rPr>
      </w:pPr>
      <w:r w:rsidRPr="00226AAB">
        <w:rPr>
          <w:i/>
          <w:sz w:val="22"/>
          <w:szCs w:val="22"/>
          <w:u w:val="single"/>
        </w:rPr>
        <w:t>Attachments</w:t>
      </w:r>
    </w:p>
    <w:p w:rsidR="00D6589B" w:rsidRDefault="00014F61" w:rsidP="004A2F48">
      <w:pPr>
        <w:pStyle w:val="Default"/>
        <w:numPr>
          <w:ilvl w:val="0"/>
          <w:numId w:val="7"/>
        </w:numPr>
        <w:spacing w:before="120"/>
        <w:ind w:left="714" w:hanging="357"/>
        <w:jc w:val="both"/>
        <w:rPr>
          <w:sz w:val="22"/>
          <w:szCs w:val="22"/>
        </w:rPr>
      </w:pPr>
      <w:hyperlink r:id="rId11" w:history="1">
        <w:r w:rsidR="007A0B09" w:rsidRPr="000B781E">
          <w:rPr>
            <w:rStyle w:val="Hyperlink"/>
            <w:sz w:val="22"/>
            <w:szCs w:val="22"/>
          </w:rPr>
          <w:t xml:space="preserve">Crime and Misconduct </w:t>
        </w:r>
        <w:r w:rsidR="00566663" w:rsidRPr="000B781E">
          <w:rPr>
            <w:rStyle w:val="Hyperlink"/>
            <w:sz w:val="22"/>
            <w:szCs w:val="22"/>
          </w:rPr>
          <w:t xml:space="preserve">and Other Legislation Amendment Bill </w:t>
        </w:r>
        <w:r w:rsidR="007A0B09" w:rsidRPr="000B781E">
          <w:rPr>
            <w:rStyle w:val="Hyperlink"/>
            <w:sz w:val="22"/>
            <w:szCs w:val="22"/>
          </w:rPr>
          <w:t>2014</w:t>
        </w:r>
      </w:hyperlink>
    </w:p>
    <w:p w:rsidR="00C07997" w:rsidRPr="00802615" w:rsidRDefault="00014F61" w:rsidP="004A2F48">
      <w:pPr>
        <w:pStyle w:val="Default"/>
        <w:numPr>
          <w:ilvl w:val="0"/>
          <w:numId w:val="7"/>
        </w:numPr>
        <w:spacing w:before="120"/>
        <w:ind w:left="714" w:hanging="357"/>
        <w:jc w:val="both"/>
        <w:rPr>
          <w:sz w:val="22"/>
          <w:szCs w:val="22"/>
        </w:rPr>
      </w:pPr>
      <w:hyperlink r:id="rId12" w:history="1">
        <w:r w:rsidR="00802615" w:rsidRPr="000B781E">
          <w:rPr>
            <w:rStyle w:val="Hyperlink"/>
            <w:sz w:val="22"/>
            <w:szCs w:val="22"/>
          </w:rPr>
          <w:t>Explanatory Notes</w:t>
        </w:r>
      </w:hyperlink>
      <w:r w:rsidR="000B781E">
        <w:rPr>
          <w:sz w:val="22"/>
          <w:szCs w:val="22"/>
        </w:rPr>
        <w:t xml:space="preserve">; </w:t>
      </w:r>
      <w:hyperlink r:id="rId13" w:history="1">
        <w:r w:rsidR="000B781E" w:rsidRPr="000B781E">
          <w:rPr>
            <w:rStyle w:val="Hyperlink"/>
            <w:sz w:val="22"/>
            <w:szCs w:val="22"/>
          </w:rPr>
          <w:t>Erratum to Explanatory Notes</w:t>
        </w:r>
      </w:hyperlink>
    </w:p>
    <w:sectPr w:rsidR="00C07997" w:rsidRPr="00802615" w:rsidSect="004A2F48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26" w:rsidRDefault="00EE7F26" w:rsidP="00D6589B">
      <w:r>
        <w:separator/>
      </w:r>
    </w:p>
  </w:endnote>
  <w:endnote w:type="continuationSeparator" w:id="0">
    <w:p w:rsidR="00EE7F26" w:rsidRDefault="00EE7F2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26" w:rsidRDefault="00EE7F26" w:rsidP="00D6589B">
      <w:r>
        <w:separator/>
      </w:r>
    </w:p>
  </w:footnote>
  <w:footnote w:type="continuationSeparator" w:id="0">
    <w:p w:rsidR="00EE7F26" w:rsidRDefault="00EE7F2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1EC" w:rsidRPr="00937A4A" w:rsidRDefault="001371EC" w:rsidP="001371E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1371EC" w:rsidRPr="00937A4A" w:rsidRDefault="001371EC" w:rsidP="001371E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1371EC" w:rsidRPr="00937A4A" w:rsidRDefault="001371EC" w:rsidP="001371E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2014</w:t>
    </w:r>
  </w:p>
  <w:p w:rsidR="008F1141" w:rsidRDefault="008F114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Crime and Misconduct and Other Legislation Amendment Bill 2014</w:t>
    </w:r>
  </w:p>
  <w:p w:rsidR="008F1141" w:rsidRDefault="008F114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8F1141" w:rsidRDefault="008F114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64081E"/>
    <w:multiLevelType w:val="hybridMultilevel"/>
    <w:tmpl w:val="58A25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6E5D54"/>
    <w:multiLevelType w:val="hybridMultilevel"/>
    <w:tmpl w:val="54244A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1E6E0B"/>
    <w:multiLevelType w:val="hybridMultilevel"/>
    <w:tmpl w:val="B7222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9A0D7"/>
    <w:multiLevelType w:val="hybridMultilevel"/>
    <w:tmpl w:val="82EE305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24373AD"/>
    <w:multiLevelType w:val="hybridMultilevel"/>
    <w:tmpl w:val="F4E6A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91FAF"/>
    <w:multiLevelType w:val="hybridMultilevel"/>
    <w:tmpl w:val="8C3E9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97"/>
    <w:rsid w:val="00000CDA"/>
    <w:rsid w:val="00014F61"/>
    <w:rsid w:val="0002542A"/>
    <w:rsid w:val="0003191D"/>
    <w:rsid w:val="000527F6"/>
    <w:rsid w:val="0007503E"/>
    <w:rsid w:val="00080F8F"/>
    <w:rsid w:val="000B781E"/>
    <w:rsid w:val="0010384C"/>
    <w:rsid w:val="001371EC"/>
    <w:rsid w:val="00174117"/>
    <w:rsid w:val="001D7A5A"/>
    <w:rsid w:val="001E72B1"/>
    <w:rsid w:val="00226AAB"/>
    <w:rsid w:val="002721DE"/>
    <w:rsid w:val="002E1C46"/>
    <w:rsid w:val="003A3BDD"/>
    <w:rsid w:val="004A2F48"/>
    <w:rsid w:val="00501C66"/>
    <w:rsid w:val="00550873"/>
    <w:rsid w:val="00560445"/>
    <w:rsid w:val="00566663"/>
    <w:rsid w:val="00614382"/>
    <w:rsid w:val="006D5DCF"/>
    <w:rsid w:val="006F5A48"/>
    <w:rsid w:val="007265D0"/>
    <w:rsid w:val="00732E22"/>
    <w:rsid w:val="00741C20"/>
    <w:rsid w:val="007A0B09"/>
    <w:rsid w:val="007B10BD"/>
    <w:rsid w:val="007F3063"/>
    <w:rsid w:val="007F44F4"/>
    <w:rsid w:val="00802615"/>
    <w:rsid w:val="0082666D"/>
    <w:rsid w:val="008F1141"/>
    <w:rsid w:val="0090346B"/>
    <w:rsid w:val="00904077"/>
    <w:rsid w:val="00932C91"/>
    <w:rsid w:val="00937A4A"/>
    <w:rsid w:val="009507EE"/>
    <w:rsid w:val="00A379F5"/>
    <w:rsid w:val="00A7144C"/>
    <w:rsid w:val="00A92B3C"/>
    <w:rsid w:val="00B932C1"/>
    <w:rsid w:val="00BB41C1"/>
    <w:rsid w:val="00C07997"/>
    <w:rsid w:val="00C4333E"/>
    <w:rsid w:val="00C75E67"/>
    <w:rsid w:val="00CA71F9"/>
    <w:rsid w:val="00CB1501"/>
    <w:rsid w:val="00CB742A"/>
    <w:rsid w:val="00CD7A50"/>
    <w:rsid w:val="00CF0D8A"/>
    <w:rsid w:val="00D6589B"/>
    <w:rsid w:val="00D907FA"/>
    <w:rsid w:val="00D952A3"/>
    <w:rsid w:val="00E714E3"/>
    <w:rsid w:val="00E7260A"/>
    <w:rsid w:val="00EA6D91"/>
    <w:rsid w:val="00EE7F26"/>
    <w:rsid w:val="00F00269"/>
    <w:rsid w:val="00F02C11"/>
    <w:rsid w:val="00F45B99"/>
    <w:rsid w:val="00F5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5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0B78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Erratum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183C0-AB14-43C3-B15C-4F4F680FC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1156E-8584-4CDD-A840-8DDF37564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0D2078-5990-438F-B499-7CDB6C97DF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10DC761-782E-40D9-BFB2-E03E98091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346</Words>
  <Characters>2028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2355</CharactersWithSpaces>
  <SharedDoc>false</SharedDoc>
  <HyperlinkBase>https://www.cabinet.qld.gov.au/documents/2014/Feb/CMC bill/</HyperlinkBase>
  <HLinks>
    <vt:vector size="18" baseType="variant">
      <vt:variant>
        <vt:i4>7274616</vt:i4>
      </vt:variant>
      <vt:variant>
        <vt:i4>6</vt:i4>
      </vt:variant>
      <vt:variant>
        <vt:i4>0</vt:i4>
      </vt:variant>
      <vt:variant>
        <vt:i4>5</vt:i4>
      </vt:variant>
      <vt:variant>
        <vt:lpwstr>Attachments/Erratum.pdf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2014-05-15T01:28:00Z</cp:lastPrinted>
  <dcterms:created xsi:type="dcterms:W3CDTF">2017-10-25T01:14:00Z</dcterms:created>
  <dcterms:modified xsi:type="dcterms:W3CDTF">2018-03-06T01:23:00Z</dcterms:modified>
  <cp:category>Legislation,Crime,Crime_and_Misconduct_Commission,Crime_and_Corruption_Commission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-1832935159</vt:i4>
  </property>
  <property fmtid="{D5CDD505-2E9C-101B-9397-08002B2CF9AE}" pid="4" name="_PreviousAdHocReviewCycleID">
    <vt:i4>1209278019</vt:i4>
  </property>
  <property fmtid="{D5CDD505-2E9C-101B-9397-08002B2CF9AE}" pid="5" name="IsMyDocuments">
    <vt:lpwstr>1</vt:lpwstr>
  </property>
  <property fmtid="{D5CDD505-2E9C-101B-9397-08002B2CF9AE}" pid="6" name="_ReviewingToolsShownOnce">
    <vt:lpwstr/>
  </property>
</Properties>
</file>